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524B5D4B" w14:textId="77777777" w:rsidR="006E07A9" w:rsidRDefault="006E07A9" w:rsidP="00EB57CC">
      <w:pPr>
        <w:jc w:val="both"/>
        <w:rPr>
          <w:rFonts w:ascii="Trebuchet MS" w:hAnsi="Trebuchet MS"/>
          <w:sz w:val="22"/>
          <w:szCs w:val="22"/>
        </w:rPr>
      </w:pPr>
    </w:p>
    <w:p w14:paraId="2C52664A" w14:textId="58A8E6B7" w:rsidR="00EB57CC" w:rsidRDefault="006E07A9" w:rsidP="00EB57C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Fue aprobado por la Junta Directiva el siguiente proyecto de distribución de utilidades para ser presentado a consideración de la asamblea general de accionistas:</w:t>
      </w:r>
    </w:p>
    <w:p w14:paraId="62A7E999" w14:textId="5EB97ABB" w:rsidR="00A45B26" w:rsidRDefault="00A45B26" w:rsidP="00EB57CC">
      <w:pPr>
        <w:jc w:val="both"/>
        <w:rPr>
          <w:rFonts w:ascii="Trebuchet MS" w:hAnsi="Trebuchet MS"/>
          <w:sz w:val="22"/>
          <w:szCs w:val="22"/>
        </w:rPr>
      </w:pPr>
    </w:p>
    <w:p w14:paraId="61936AC9" w14:textId="4BA530B0" w:rsidR="00A45B26" w:rsidRDefault="00A45B26" w:rsidP="00A45B26">
      <w:pPr>
        <w:jc w:val="center"/>
        <w:rPr>
          <w:rFonts w:ascii="Trebuchet MS" w:hAnsi="Trebuchet MS" w:cs="Arial"/>
          <w:b/>
          <w:bCs/>
        </w:rPr>
      </w:pPr>
      <w:r w:rsidRPr="009345B9">
        <w:rPr>
          <w:rFonts w:ascii="Trebuchet MS" w:hAnsi="Trebuchet MS" w:cs="Arial"/>
          <w:b/>
          <w:bCs/>
        </w:rPr>
        <w:t>PROPOSICION SOBRE DISTRIBUCION DE UTILIDADES</w:t>
      </w:r>
    </w:p>
    <w:p w14:paraId="1B49AAAE" w14:textId="77777777" w:rsidR="00A45B26" w:rsidRPr="009345B9" w:rsidRDefault="00A45B26" w:rsidP="00A45B26">
      <w:pPr>
        <w:jc w:val="center"/>
        <w:rPr>
          <w:rFonts w:ascii="Trebuchet MS" w:hAnsi="Trebuchet MS" w:cs="Arial"/>
          <w:b/>
          <w:bCs/>
        </w:rPr>
      </w:pPr>
    </w:p>
    <w:p w14:paraId="6F74906F" w14:textId="52BBA72C" w:rsidR="00A45B26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</w:rPr>
        <w:t xml:space="preserve">Se propone a los señores accionistas de la sociedad CARVAJAL S.A.: </w:t>
      </w:r>
    </w:p>
    <w:p w14:paraId="04091C01" w14:textId="77777777" w:rsidR="00302E4F" w:rsidRPr="009345B9" w:rsidRDefault="00302E4F" w:rsidP="00A45B26">
      <w:pPr>
        <w:rPr>
          <w:rFonts w:ascii="Trebuchet MS" w:hAnsi="Trebuchet MS" w:cs="Arial"/>
        </w:rPr>
      </w:pPr>
    </w:p>
    <w:p w14:paraId="65D5F659" w14:textId="034FD0A8" w:rsidR="00A45B26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  <w:b/>
          <w:bCs/>
        </w:rPr>
        <w:t>PRIMERO:</w:t>
      </w:r>
      <w:r w:rsidRPr="009345B9">
        <w:rPr>
          <w:rFonts w:ascii="Trebuchet MS" w:hAnsi="Trebuchet MS" w:cs="Arial"/>
        </w:rPr>
        <w:t xml:space="preserve"> Destinar las utilidades obtenidas por la sociedad en el ejercicio 2022, que ascienden a la suma de $267.393.054.674,00 así:</w:t>
      </w:r>
    </w:p>
    <w:p w14:paraId="2804650B" w14:textId="77777777" w:rsidR="00A45B26" w:rsidRPr="009345B9" w:rsidRDefault="00A45B26" w:rsidP="00A45B26">
      <w:pPr>
        <w:rPr>
          <w:rFonts w:ascii="Trebuchet MS" w:hAnsi="Trebuchet MS" w:cs="Arial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5880"/>
        <w:gridCol w:w="2760"/>
      </w:tblGrid>
      <w:tr w:rsidR="00A45B26" w:rsidRPr="009345B9" w14:paraId="6D972822" w14:textId="77777777" w:rsidTr="0053548B">
        <w:tc>
          <w:tcPr>
            <w:tcW w:w="5880" w:type="dxa"/>
          </w:tcPr>
          <w:p w14:paraId="5C589045" w14:textId="77777777" w:rsidR="00A45B26" w:rsidRPr="009345B9" w:rsidRDefault="00A45B26" w:rsidP="00A45B26">
            <w:pPr>
              <w:numPr>
                <w:ilvl w:val="0"/>
                <w:numId w:val="11"/>
              </w:numPr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Incrementar la reserva para financiación de nuevos proyectos, tomada de las utilidades no gravadas para los accionistas, en la suma de:</w:t>
            </w:r>
          </w:p>
        </w:tc>
        <w:tc>
          <w:tcPr>
            <w:tcW w:w="2760" w:type="dxa"/>
          </w:tcPr>
          <w:p w14:paraId="4CA37C09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</w:p>
          <w:p w14:paraId="36DA3E5C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$ 11.384.309.123</w:t>
            </w:r>
          </w:p>
        </w:tc>
      </w:tr>
      <w:tr w:rsidR="00A45B26" w:rsidRPr="009345B9" w14:paraId="0710BEC2" w14:textId="77777777" w:rsidTr="0053548B">
        <w:tc>
          <w:tcPr>
            <w:tcW w:w="5880" w:type="dxa"/>
          </w:tcPr>
          <w:p w14:paraId="5AEBA2F3" w14:textId="77777777" w:rsidR="00A45B26" w:rsidRPr="009345B9" w:rsidRDefault="00A45B26" w:rsidP="00A45B26">
            <w:pPr>
              <w:numPr>
                <w:ilvl w:val="0"/>
                <w:numId w:val="11"/>
              </w:numPr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 xml:space="preserve">Incrementar la reserva para financiación de nuevos           proyectos, tomada de las utilidades gravadas para los accionistas, en la suma de: </w:t>
            </w:r>
          </w:p>
        </w:tc>
        <w:tc>
          <w:tcPr>
            <w:tcW w:w="2760" w:type="dxa"/>
          </w:tcPr>
          <w:p w14:paraId="1CD73532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</w:p>
          <w:p w14:paraId="07208EBE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$223.295.297.208</w:t>
            </w:r>
          </w:p>
        </w:tc>
      </w:tr>
      <w:tr w:rsidR="00A45B26" w:rsidRPr="009345B9" w14:paraId="67DA88BF" w14:textId="77777777" w:rsidTr="0053548B">
        <w:tc>
          <w:tcPr>
            <w:tcW w:w="5880" w:type="dxa"/>
          </w:tcPr>
          <w:p w14:paraId="2872C0A4" w14:textId="77777777" w:rsidR="00A45B26" w:rsidRPr="009345B9" w:rsidRDefault="00A45B26" w:rsidP="00A45B26">
            <w:pPr>
              <w:numPr>
                <w:ilvl w:val="0"/>
                <w:numId w:val="11"/>
              </w:numPr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 xml:space="preserve">Incrementar la reserva para readquisición de acciones, tomada de las utilidades gravadas para los accionistas, en la suma de: </w:t>
            </w:r>
          </w:p>
        </w:tc>
        <w:tc>
          <w:tcPr>
            <w:tcW w:w="2760" w:type="dxa"/>
          </w:tcPr>
          <w:p w14:paraId="555514D7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</w:p>
          <w:p w14:paraId="3C0D5DF6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$6.829.088.449</w:t>
            </w:r>
          </w:p>
        </w:tc>
      </w:tr>
      <w:tr w:rsidR="00A45B26" w:rsidRPr="009345B9" w14:paraId="600C352E" w14:textId="77777777" w:rsidTr="0053548B">
        <w:tc>
          <w:tcPr>
            <w:tcW w:w="5880" w:type="dxa"/>
          </w:tcPr>
          <w:p w14:paraId="45BCF42F" w14:textId="77777777" w:rsidR="00A45B26" w:rsidRPr="009345B9" w:rsidRDefault="00A45B26" w:rsidP="00A45B26">
            <w:pPr>
              <w:numPr>
                <w:ilvl w:val="0"/>
                <w:numId w:val="11"/>
              </w:numPr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Enjugar las pérdidas acumuladas de la sociedad, tomada de las utilidades gravadas para los accionistas, en la suma de:</w:t>
            </w:r>
          </w:p>
        </w:tc>
        <w:tc>
          <w:tcPr>
            <w:tcW w:w="2760" w:type="dxa"/>
          </w:tcPr>
          <w:p w14:paraId="7CF07F05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</w:p>
          <w:p w14:paraId="3145DBC0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$ 25.884.359.894</w:t>
            </w:r>
          </w:p>
        </w:tc>
      </w:tr>
      <w:tr w:rsidR="00A45B26" w:rsidRPr="009345B9" w14:paraId="5780AE64" w14:textId="77777777" w:rsidTr="0053548B">
        <w:tc>
          <w:tcPr>
            <w:tcW w:w="5880" w:type="dxa"/>
          </w:tcPr>
          <w:p w14:paraId="4F611D25" w14:textId="77777777" w:rsidR="00A45B26" w:rsidRPr="009345B9" w:rsidRDefault="00A45B26" w:rsidP="0053548B">
            <w:pPr>
              <w:jc w:val="both"/>
              <w:rPr>
                <w:rFonts w:ascii="Trebuchet MS" w:hAnsi="Trebuchet MS" w:cs="Arial"/>
                <w:snapToGrid w:val="0"/>
              </w:rPr>
            </w:pPr>
          </w:p>
        </w:tc>
        <w:tc>
          <w:tcPr>
            <w:tcW w:w="2760" w:type="dxa"/>
          </w:tcPr>
          <w:p w14:paraId="5BA802CF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-------------------------</w:t>
            </w:r>
          </w:p>
        </w:tc>
      </w:tr>
      <w:tr w:rsidR="00A45B26" w:rsidRPr="009345B9" w14:paraId="4A7352BC" w14:textId="77777777" w:rsidTr="0053548B">
        <w:tc>
          <w:tcPr>
            <w:tcW w:w="5880" w:type="dxa"/>
          </w:tcPr>
          <w:p w14:paraId="7EAF2171" w14:textId="77777777" w:rsidR="00A45B26" w:rsidRPr="009345B9" w:rsidRDefault="00A45B26" w:rsidP="0053548B">
            <w:pPr>
              <w:tabs>
                <w:tab w:val="num" w:pos="720"/>
                <w:tab w:val="left" w:pos="4430"/>
              </w:tabs>
              <w:ind w:left="252" w:hanging="252"/>
              <w:jc w:val="both"/>
              <w:rPr>
                <w:rFonts w:ascii="Trebuchet MS" w:hAnsi="Trebuchet MS" w:cs="Arial"/>
                <w:snapToGrid w:val="0"/>
              </w:rPr>
            </w:pPr>
            <w:proofErr w:type="gramStart"/>
            <w:r w:rsidRPr="009345B9">
              <w:rPr>
                <w:rFonts w:ascii="Trebuchet MS" w:hAnsi="Trebuchet MS" w:cs="Arial"/>
                <w:snapToGrid w:val="0"/>
              </w:rPr>
              <w:t>Total</w:t>
            </w:r>
            <w:proofErr w:type="gramEnd"/>
            <w:r w:rsidRPr="009345B9">
              <w:rPr>
                <w:rFonts w:ascii="Trebuchet MS" w:hAnsi="Trebuchet MS" w:cs="Arial"/>
                <w:snapToGrid w:val="0"/>
              </w:rPr>
              <w:t xml:space="preserve"> distribuido</w:t>
            </w:r>
            <w:r w:rsidRPr="009345B9">
              <w:rPr>
                <w:rFonts w:ascii="Trebuchet MS" w:hAnsi="Trebuchet MS" w:cs="Arial"/>
                <w:snapToGrid w:val="0"/>
              </w:rPr>
              <w:tab/>
            </w:r>
          </w:p>
        </w:tc>
        <w:tc>
          <w:tcPr>
            <w:tcW w:w="2760" w:type="dxa"/>
          </w:tcPr>
          <w:p w14:paraId="1FA2FA91" w14:textId="77777777" w:rsidR="00A45B26" w:rsidRPr="009345B9" w:rsidRDefault="00A45B26" w:rsidP="0053548B">
            <w:pPr>
              <w:tabs>
                <w:tab w:val="num" w:pos="720"/>
              </w:tabs>
              <w:jc w:val="right"/>
              <w:rPr>
                <w:rFonts w:ascii="Trebuchet MS" w:hAnsi="Trebuchet MS" w:cs="Arial"/>
                <w:snapToGrid w:val="0"/>
              </w:rPr>
            </w:pPr>
            <w:r w:rsidRPr="009345B9">
              <w:rPr>
                <w:rFonts w:ascii="Trebuchet MS" w:hAnsi="Trebuchet MS" w:cs="Arial"/>
                <w:snapToGrid w:val="0"/>
              </w:rPr>
              <w:t>$267.393.054.674</w:t>
            </w:r>
          </w:p>
        </w:tc>
      </w:tr>
    </w:tbl>
    <w:p w14:paraId="68C25BFC" w14:textId="77777777" w:rsidR="00A45B26" w:rsidRDefault="00A45B26" w:rsidP="00A45B26">
      <w:pPr>
        <w:rPr>
          <w:rFonts w:ascii="Trebuchet MS" w:hAnsi="Trebuchet MS" w:cs="Arial"/>
          <w:b/>
          <w:bCs/>
        </w:rPr>
      </w:pPr>
    </w:p>
    <w:p w14:paraId="4539C9C4" w14:textId="65BB97FB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  <w:b/>
          <w:bCs/>
        </w:rPr>
        <w:t xml:space="preserve">SEGUNDO: </w:t>
      </w:r>
      <w:r w:rsidRPr="009345B9">
        <w:rPr>
          <w:rFonts w:ascii="Trebuchet MS" w:hAnsi="Trebuchet MS" w:cs="Arial"/>
        </w:rPr>
        <w:t xml:space="preserve">Facultar al representante legal de la sociedad para que una vez presentada la declaración de renta por el año gravable 2022, haga la clasificación interna y autorice el ajuste contable en la parte que constituye utilidad no gravable y gravable para los accionistas, calculada como lo dispone el artículo 49 del Estatuto Tributario, sin que tal clasificación varíe el valor total apropiado para estas reservas.  </w:t>
      </w:r>
    </w:p>
    <w:p w14:paraId="047A1126" w14:textId="77777777" w:rsidR="00BC3CE4" w:rsidRDefault="00BC3CE4" w:rsidP="00A45B26">
      <w:pPr>
        <w:rPr>
          <w:rFonts w:ascii="Trebuchet MS" w:hAnsi="Trebuchet MS" w:cs="Arial"/>
          <w:b/>
          <w:bCs/>
        </w:rPr>
      </w:pPr>
    </w:p>
    <w:p w14:paraId="54FE4B61" w14:textId="39837DB3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  <w:b/>
          <w:bCs/>
        </w:rPr>
        <w:t>TERCERO:</w:t>
      </w:r>
      <w:r w:rsidRPr="009345B9">
        <w:rPr>
          <w:rFonts w:ascii="Trebuchet MS" w:hAnsi="Trebuchet MS" w:cs="Arial"/>
        </w:rPr>
        <w:t xml:space="preserve"> Decretar un dividendo no constitutivo de renta ni ganancia ocasional para los accionistas de $35.068.017.836,64, a razón de $21,68 por cada una de las 1.617.528.498 acciones suscritas, pagadas y en circulación.</w:t>
      </w:r>
    </w:p>
    <w:p w14:paraId="7F228F10" w14:textId="77777777" w:rsidR="00BC3CE4" w:rsidRDefault="00BC3CE4" w:rsidP="00A45B26">
      <w:pPr>
        <w:rPr>
          <w:rFonts w:ascii="Trebuchet MS" w:hAnsi="Trebuchet MS" w:cs="Arial"/>
        </w:rPr>
      </w:pPr>
    </w:p>
    <w:p w14:paraId="3A9EA6A6" w14:textId="59F09F77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</w:rPr>
        <w:t xml:space="preserve">Este dividendo se abonará en cuenta a los accionistas que sean personas naturales el día diez (10) de abril de 2023 en esta misma fecha y se pagará en doce cuotas mensuales iguales siendo la primera el diez (10) de abril de 2023. </w:t>
      </w:r>
    </w:p>
    <w:p w14:paraId="3FF77AC5" w14:textId="77777777" w:rsidR="00BC3CE4" w:rsidRDefault="00BC3CE4" w:rsidP="00A45B26">
      <w:pPr>
        <w:rPr>
          <w:rFonts w:ascii="Trebuchet MS" w:hAnsi="Trebuchet MS" w:cs="Arial"/>
        </w:rPr>
      </w:pPr>
    </w:p>
    <w:p w14:paraId="736C030C" w14:textId="6BD75C29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</w:rPr>
        <w:t xml:space="preserve">Para los accionistas que sean personas jurídicas el 10 de abril de 2023, el dividendo se abonará y pagará a quien tenga la calidad de accionista los días diez (10) de cada uno de los meses de abril de 2023 a marzo de 2024. En el evento en que el dividendo de estas sociedades pase a ser de una persona natural, se le abonará en cuenta el saldo del dividendo pendiente de ser abonado en cuenta al </w:t>
      </w:r>
      <w:r w:rsidRPr="009345B9">
        <w:rPr>
          <w:rFonts w:ascii="Trebuchet MS" w:hAnsi="Trebuchet MS" w:cs="Arial"/>
        </w:rPr>
        <w:lastRenderedPageBreak/>
        <w:t>momento de su ingreso como beneficiario del dividendo y el pago se hará en las fechas previstas inicialmente.</w:t>
      </w:r>
    </w:p>
    <w:p w14:paraId="11BDCDE9" w14:textId="77777777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</w:rPr>
        <w:t xml:space="preserve">El dividendo decretado se tomará de la reserva para futuras capitalizaciones en su parte no gravada para los accionistas, correspondiente a utilidades obtenidas después del 31 de diciembre de 2017. </w:t>
      </w:r>
    </w:p>
    <w:p w14:paraId="39912283" w14:textId="77777777" w:rsidR="00A45B26" w:rsidRPr="009345B9" w:rsidRDefault="00A45B26" w:rsidP="00A45B26">
      <w:pPr>
        <w:rPr>
          <w:rFonts w:ascii="Trebuchet MS" w:hAnsi="Trebuchet MS" w:cs="Arial"/>
        </w:rPr>
      </w:pPr>
      <w:r w:rsidRPr="009345B9">
        <w:rPr>
          <w:rFonts w:ascii="Trebuchet MS" w:hAnsi="Trebuchet MS" w:cs="Arial"/>
          <w:szCs w:val="18"/>
        </w:rPr>
        <w:t>(Hasta aquí la proposición).</w:t>
      </w:r>
    </w:p>
    <w:p w14:paraId="0FE5BE47" w14:textId="77777777" w:rsidR="00A45B26" w:rsidRPr="009345B9" w:rsidRDefault="00A45B26" w:rsidP="00A45B26">
      <w:pPr>
        <w:rPr>
          <w:rFonts w:ascii="Trebuchet MS" w:hAnsi="Trebuchet MS" w:cs="Arial"/>
        </w:rPr>
      </w:pPr>
    </w:p>
    <w:p w14:paraId="0CA64435" w14:textId="77777777" w:rsidR="00A45B26" w:rsidRDefault="00A45B26" w:rsidP="00EB57CC">
      <w:pPr>
        <w:jc w:val="both"/>
        <w:rPr>
          <w:rFonts w:ascii="Trebuchet MS" w:hAnsi="Trebuchet MS"/>
          <w:sz w:val="22"/>
          <w:szCs w:val="22"/>
        </w:rPr>
      </w:pPr>
    </w:p>
    <w:p w14:paraId="294366D9" w14:textId="19CD5DEA" w:rsidR="006E07A9" w:rsidRDefault="006E07A9" w:rsidP="00EB57CC">
      <w:pPr>
        <w:jc w:val="both"/>
        <w:rPr>
          <w:rFonts w:ascii="Trebuchet MS" w:hAnsi="Trebuchet MS"/>
          <w:sz w:val="22"/>
          <w:szCs w:val="22"/>
        </w:rPr>
      </w:pPr>
    </w:p>
    <w:p w14:paraId="76988DA1" w14:textId="77777777" w:rsidR="006E07A9" w:rsidRPr="00EB57CC" w:rsidRDefault="006E07A9" w:rsidP="00EB57CC">
      <w:pPr>
        <w:jc w:val="both"/>
        <w:rPr>
          <w:rFonts w:ascii="Trebuchet MS" w:hAnsi="Trebuchet MS"/>
          <w:sz w:val="22"/>
          <w:szCs w:val="22"/>
        </w:rPr>
      </w:pPr>
    </w:p>
    <w:sectPr w:rsidR="006E07A9" w:rsidRPr="00EB57CC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0F64FB05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Carvajal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74F7B"/>
    <w:multiLevelType w:val="hybridMultilevel"/>
    <w:tmpl w:val="C8A6193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8"/>
  </w:num>
  <w:num w:numId="2" w16cid:durableId="1847598472">
    <w:abstractNumId w:val="3"/>
  </w:num>
  <w:num w:numId="3" w16cid:durableId="849180901">
    <w:abstractNumId w:val="9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10"/>
  </w:num>
  <w:num w:numId="10" w16cid:durableId="1262838345">
    <w:abstractNumId w:val="1"/>
  </w:num>
  <w:num w:numId="11" w16cid:durableId="1984969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02E4F"/>
    <w:rsid w:val="00315BF1"/>
    <w:rsid w:val="00321F6C"/>
    <w:rsid w:val="0032228A"/>
    <w:rsid w:val="00323944"/>
    <w:rsid w:val="00327166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4D2F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5E221E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46765"/>
    <w:rsid w:val="00670B76"/>
    <w:rsid w:val="0067424E"/>
    <w:rsid w:val="00677E57"/>
    <w:rsid w:val="00690E93"/>
    <w:rsid w:val="00691E23"/>
    <w:rsid w:val="006A0B08"/>
    <w:rsid w:val="006B170A"/>
    <w:rsid w:val="006B3B92"/>
    <w:rsid w:val="006C1A5E"/>
    <w:rsid w:val="006E07A9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45B26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C3CE4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75C05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2</TotalTime>
  <Pages>2</Pages>
  <Words>427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12</cp:revision>
  <cp:lastPrinted>2018-10-25T13:39:00Z</cp:lastPrinted>
  <dcterms:created xsi:type="dcterms:W3CDTF">2023-03-01T13:44:00Z</dcterms:created>
  <dcterms:modified xsi:type="dcterms:W3CDTF">2023-03-01T13:50:00Z</dcterms:modified>
</cp:coreProperties>
</file>